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name"/>
      </w:pPr>
      <w:r>
        <w:rPr>
          <w:rStyle w:val="Bold"/>
          <w:b/>
        </w:rPr>
        <w:t xml:space="preserve">Карта заказа </w:t>
      </w:r>
      <w:r>
        <w:rPr>
          <w:rStyle w:val="Bold"/>
          <w:b/>
        </w:rPr>
        <w:t>ЭКРА 2</w:t>
      </w:r>
      <w:r>
        <w:rPr>
          <w:rStyle w:val="Bold"/>
          <w:b/>
        </w:rPr>
        <w:t>4</w:t>
      </w:r>
      <w:r>
        <w:rPr>
          <w:rStyle w:val="Bold"/>
          <w:b/>
        </w:rPr>
        <w:t>7</w:t>
      </w:r>
      <w:r>
        <w:rPr>
          <w:rStyle w:val="Bold"/>
          <w:b/>
        </w:rPr>
        <w:t>(А)</w:t>
      </w:r>
      <w:r>
        <w:rPr>
          <w:rStyle w:val="Bold"/>
          <w:b/>
        </w:rPr>
        <w:t xml:space="preserve"> 0</w:t>
      </w:r>
      <w:r>
        <w:rPr>
          <w:rStyle w:val="Bold"/>
          <w:b/>
        </w:rPr>
        <w:t>306</w:t>
      </w:r>
    </w:p>
    <w:p>
      <w:pPr>
        <w:pStyle w:val="designation"/>
        <w:rPr>
          <w:rStyle w:val="Bold"/>
          <w:b w:val="0"/>
          <w:sz w:val="20"/>
          <w:szCs w:val="20"/>
        </w:rPr>
      </w:pPr>
      <w:r>
        <w:rPr>
          <w:rStyle w:val="Bold"/>
          <w:b w:val="0"/>
          <w:sz w:val="20"/>
          <w:szCs w:val="20"/>
        </w:rPr>
        <w:t xml:space="preserve">(терминал </w:t>
      </w:r>
      <w:r>
        <w:rPr>
          <w:rStyle w:val="Bold"/>
          <w:b w:val="0"/>
          <w:sz w:val="20"/>
          <w:szCs w:val="20"/>
        </w:rPr>
        <w:t>управления c функциями контроллера ячейки, защит, автоматики и сигнализации ввода</w:t>
      </w:r>
      <w:r>
        <w:rPr>
          <w:rStyle w:val="Bold"/>
          <w:b w:val="0"/>
          <w:sz w:val="20"/>
          <w:szCs w:val="20"/>
        </w:rPr>
        <w:t>)</w:t>
      </w:r>
    </w:p>
    <w:p>
      <w:pPr>
        <w:pStyle w:val="usual101"/>
        <w:ind w:firstLine="0"/>
      </w:pPr>
      <w:r>
        <w:t xml:space="preserve">Отметьте знаком </w:t>
      </w:r>
      <w:sdt>
        <w:sdtPr>
          <w:id w:val="-1313857095"/>
          <w:lock w:val="sdtContentLocked"/>
          <w14:checkbox>
            <w14:checked w14:val="1"/>
            <w14:checkedState w14:val="2612" w14:font="Meiryo"/>
            <w14:uncheckedState w14:val="2610" w14:font="Meiryo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то, что Вам требуется.</w:t>
      </w:r>
      <w:r>
        <w:t xml:space="preserve"> Если параметр не выбран, то его значение принимается типовым!</w:t>
      </w:r>
    </w:p>
    <w:tbl>
      <w:tblPr>
        <w:tblStyle w:val="table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4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0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usual"/>
              <w:jc w:val="right"/>
            </w:pPr>
            <w:r>
              <w:t>Место установки</w:t>
            </w:r>
          </w:p>
        </w:tc>
        <w:sdt>
          <w:sdtPr>
            <w:alias w:val="Место установки"/>
            <w:tag w:val="Место установки"/>
            <w:id w:val="1843581023"/>
            <w:showingPlcHdr/>
            <w:text/>
          </w:sdtPr>
          <w:sdtContent>
            <w:tc>
              <w:tcPr>
                <w:tcW w:w="5044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>
                <w:pPr>
                  <w:pStyle w:val="usual"/>
                  <w:rPr>
                    <w:b w:val="0"/>
                  </w:rPr>
                </w:pPr>
                <w:r>
                  <w:rPr>
                    <w:rStyle w:val="af3"/>
                    <w:b w:val="0"/>
                  </w:rPr>
                  <w:t>Место для ввода текста.</w:t>
                </w:r>
              </w:p>
            </w:tc>
          </w:sdtContent>
        </w:sdt>
      </w:tr>
      <w:tr>
        <w:trPr>
          <w:trHeight w:val="454"/>
        </w:trPr>
        <w:tc>
          <w:tcPr>
            <w:tcW w:w="5047" w:type="dxa"/>
          </w:tcPr>
          <w:p>
            <w:pPr>
              <w:pStyle w:val="usual"/>
              <w:jc w:val="right"/>
              <w:rPr>
                <w:b/>
              </w:rPr>
            </w:pPr>
            <w:r>
              <w:rPr>
                <w:b/>
              </w:rPr>
              <w:t>Тип защищаемого объекта</w:t>
            </w:r>
          </w:p>
        </w:tc>
        <w:sdt>
          <w:sdtPr>
            <w:alias w:val="Тип защищаемого объекта"/>
            <w:tag w:val="Тип защищаемого объекта"/>
            <w:id w:val="-1979441515"/>
            <w:showingPlcHdr/>
            <w:text/>
          </w:sdtPr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>
                <w:pPr>
                  <w:pStyle w:val="usual"/>
                </w:pPr>
                <w:r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>
        <w:trPr>
          <w:trHeight w:val="454"/>
        </w:trPr>
        <w:tc>
          <w:tcPr>
            <w:tcW w:w="5047" w:type="dxa"/>
          </w:tcPr>
          <w:p>
            <w:pPr>
              <w:pStyle w:val="usual"/>
              <w:jc w:val="right"/>
              <w:rPr>
                <w:b/>
              </w:rPr>
            </w:pPr>
            <w:r>
              <w:rPr>
                <w:b/>
              </w:rPr>
              <w:t>Номинальное напряжение</w:t>
            </w:r>
          </w:p>
        </w:tc>
        <w:sdt>
          <w:sdtPr>
            <w:alias w:val="Номинальное напряжение"/>
            <w:tag w:val="Номинальное напряжение"/>
            <w:id w:val="1608852425"/>
            <w:showingPlcHdr/>
            <w:text/>
          </w:sdtPr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>
                <w:pPr>
                  <w:pStyle w:val="usual"/>
                </w:pPr>
                <w:r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>
        <w:tc>
          <w:tcPr>
            <w:tcW w:w="5047" w:type="dxa"/>
          </w:tcPr>
          <w:p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>
            <w:pPr>
              <w:pStyle w:val="usual101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кВ</w:t>
            </w:r>
            <w:proofErr w:type="spellEnd"/>
            <w:r>
              <w:rPr>
                <w:sz w:val="14"/>
              </w:rPr>
              <w:t>)</w:t>
            </w:r>
          </w:p>
        </w:tc>
      </w:tr>
      <w:tr>
        <w:tc>
          <w:tcPr>
            <w:tcW w:w="5047" w:type="dxa"/>
          </w:tcPr>
          <w:p>
            <w:pPr>
              <w:pStyle w:val="usual"/>
              <w:jc w:val="right"/>
              <w:rPr>
                <w:b/>
              </w:rPr>
            </w:pPr>
            <w:r>
              <w:rPr>
                <w:b/>
              </w:rPr>
              <w:t>Количество терминалов</w:t>
            </w:r>
          </w:p>
        </w:tc>
        <w:sdt>
          <w:sdtPr>
            <w:alias w:val="Количество терминалов"/>
            <w:tag w:val="Количество терминалов"/>
            <w:id w:val="1353537194"/>
            <w:showingPlcHdr/>
            <w:text/>
          </w:sdtPr>
          <w:sdtContent>
            <w:tc>
              <w:tcPr>
                <w:tcW w:w="5044" w:type="dxa"/>
                <w:tcBorders>
                  <w:bottom w:val="single" w:sz="4" w:space="0" w:color="auto"/>
                </w:tcBorders>
              </w:tcPr>
              <w:p>
                <w:pPr>
                  <w:pStyle w:val="usual"/>
                </w:pPr>
                <w:r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>
        <w:tc>
          <w:tcPr>
            <w:tcW w:w="5047" w:type="dxa"/>
          </w:tcPr>
          <w:p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>
            <w:pPr>
              <w:pStyle w:val="usual101"/>
              <w:jc w:val="center"/>
              <w:rPr>
                <w:sz w:val="14"/>
              </w:rPr>
            </w:pPr>
            <w:r>
              <w:rPr>
                <w:sz w:val="14"/>
              </w:rPr>
              <w:t>(указать необходимое количество терминалов данного типа)</w:t>
            </w:r>
          </w:p>
        </w:tc>
      </w:tr>
    </w:tbl>
    <w:p>
      <w:pPr>
        <w:pStyle w:val="usual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Выбор номинальных параметров</w:t>
      </w: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370"/>
        <w:gridCol w:w="2144"/>
        <w:gridCol w:w="2249"/>
        <w:gridCol w:w="825"/>
        <w:gridCol w:w="634"/>
        <w:gridCol w:w="1094"/>
        <w:gridCol w:w="478"/>
        <w:gridCol w:w="229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tcW w:w="2360" w:type="pct"/>
            <w:gridSpan w:val="3"/>
            <w:vMerge w:val="restart"/>
            <w:hideMark/>
          </w:tcPr>
          <w:p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Тип исполнения</w:t>
            </w:r>
          </w:p>
        </w:tc>
        <w:tc>
          <w:tcPr>
            <w:tcW w:w="2640" w:type="pct"/>
            <w:gridSpan w:val="5"/>
            <w:hideMark/>
          </w:tcPr>
          <w:p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Параметры</w:t>
            </w:r>
          </w:p>
        </w:tc>
      </w:tr>
      <w:tr>
        <w:trPr>
          <w:trHeight w:val="32"/>
        </w:trPr>
        <w:tc>
          <w:tcPr>
            <w:tcW w:w="23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101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Номинальное напряжение оперативного питания, В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Style w:val="usual101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Вид климатического исполнения по </w:t>
            </w:r>
            <w:r>
              <w:rPr>
                <w:rFonts w:cs="Arial"/>
                <w:szCs w:val="20"/>
              </w:rPr>
              <w:br/>
              <w:t>ГОСТ 15150-69</w:t>
            </w:r>
            <w:r>
              <w:rPr>
                <w:rFonts w:cs="Arial"/>
                <w:szCs w:val="20"/>
                <w:vertAlign w:val="superscript"/>
              </w:rPr>
              <w:t>*</w:t>
            </w:r>
          </w:p>
        </w:tc>
      </w:tr>
      <w:tr>
        <w:trPr>
          <w:trHeight w:val="273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70899828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183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101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0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pStyle w:val="usual101"/>
              <w:ind w:hanging="16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Общепромышленное (типовое)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ЭКРА 247 0306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61</w:t>
            </w: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-16514277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=110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"/>
            <w:tag w:val="УХЛ3.1"/>
            <w:id w:val="17706586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2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УХЛ3.1 </w:t>
            </w:r>
            <w:r>
              <w:rPr>
                <w:rFonts w:cs="Arial"/>
                <w:sz w:val="20"/>
                <w:szCs w:val="20"/>
              </w:rPr>
              <w:br/>
              <w:t>(типовое исполнение)</w:t>
            </w:r>
          </w:p>
        </w:tc>
      </w:tr>
      <w:tr>
        <w:trPr>
          <w:trHeight w:val="384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272838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09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Е2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=220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 -40"/>
            <w:tag w:val="УХЛ3.1 -40"/>
            <w:id w:val="141844266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237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расширенный УХЛ3.1 </w:t>
            </w:r>
          </w:p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(до -40°С, без дисплея)</w:t>
            </w:r>
          </w:p>
        </w:tc>
      </w:tr>
      <w:tr>
        <w:trPr>
          <w:trHeight w:val="425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-169159255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183" w:type="pct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pStyle w:val="usu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АЭС</w:t>
            </w:r>
          </w:p>
        </w:tc>
        <w:tc>
          <w:tcPr>
            <w:tcW w:w="111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ЭКРА 247А 0306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– </w:t>
            </w:r>
            <w:r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63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2"/>
            <w:tag w:val="Е2"/>
            <w:id w:val="114655514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~</w:t>
            </w:r>
            <w:r>
              <w:rPr>
                <w:rFonts w:cs="Arial"/>
                <w:sz w:val="20"/>
                <w:szCs w:val="20"/>
              </w:rPr>
              <w:t>220</w:t>
            </w:r>
          </w:p>
        </w:tc>
        <w:sdt>
          <w:sdtPr>
            <w:rPr>
              <w:rFonts w:cs="Arial"/>
              <w:sz w:val="20"/>
              <w:szCs w:val="20"/>
            </w:rPr>
            <w:alias w:val="О4"/>
            <w:tag w:val="О4"/>
            <w:id w:val="11124122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2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О4</w:t>
            </w:r>
          </w:p>
        </w:tc>
      </w:tr>
      <w:tr>
        <w:trPr>
          <w:trHeight w:val="43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sz w:val="14"/>
                <w:u w:val="single"/>
              </w:rPr>
            </w:pPr>
            <w:r>
              <w:object w:dxaOrig="2036" w:dyaOrig="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6pt" o:ole="">
                  <v:imagedata r:id="rId8" o:title=""/>
                </v:shape>
                <o:OLEObject Type="Embed" ProgID="Visio.Drawing.11" ShapeID="_x0000_i1025" DrawAspect="Content" ObjectID="_1642834466" r:id="rId9"/>
              </w:object>
            </w:r>
          </w:p>
          <w:p>
            <w:pPr>
              <w:pStyle w:val="usual"/>
              <w:tabs>
                <w:tab w:val="left" w:pos="284"/>
              </w:tabs>
              <w:jc w:val="left"/>
              <w:rPr>
                <w:rFonts w:cs="Arial"/>
                <w:szCs w:val="20"/>
              </w:rPr>
            </w:pPr>
            <w:r>
              <w:rPr>
                <w:sz w:val="14"/>
              </w:rPr>
              <w:t>* Номинальные значения климатических факторов внешней среды приведены в руководстве по эксплуатации «Терминалы микропроцессорные серии ЭКРА 200» – ЭКРА.650321.001 РЭ</w:t>
            </w:r>
            <w:r>
              <w:rPr>
                <w:sz w:val="16"/>
                <w:szCs w:val="16"/>
              </w:rPr>
              <w:t>.</w:t>
            </w:r>
          </w:p>
        </w:tc>
      </w:tr>
    </w:tbl>
    <w:p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rPr>
          <w:sz w:val="20"/>
        </w:rPr>
      </w:pPr>
      <w:r>
        <w:rPr>
          <w:sz w:val="20"/>
        </w:rPr>
        <w:t>Дополнительные параметры</w:t>
      </w:r>
      <w:r>
        <w:rPr>
          <w:sz w:val="20"/>
          <w:vertAlign w:val="superscript"/>
        </w:rPr>
        <w:t>*</w:t>
      </w:r>
    </w:p>
    <w:p>
      <w:pPr>
        <w:pStyle w:val="usual"/>
        <w:spacing w:line="240" w:lineRule="auto"/>
        <w:ind w:firstLine="0"/>
        <w:rPr>
          <w:sz w:val="20"/>
        </w:rPr>
      </w:pPr>
      <w:r>
        <w:rPr>
          <w:sz w:val="20"/>
        </w:rPr>
        <w:t>2.1 Выбор степени защиты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6"/>
        <w:gridCol w:w="628"/>
        <w:gridCol w:w="5585"/>
      </w:tblGrid>
      <w:tr>
        <w:tc>
          <w:tcPr>
            <w:tcW w:w="6629" w:type="dxa"/>
            <w:gridSpan w:val="3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Степень защиты по </w:t>
            </w:r>
            <w:r>
              <w:rPr>
                <w:rFonts w:cs="Arial"/>
                <w:sz w:val="20"/>
                <w:szCs w:val="20"/>
              </w:rPr>
              <w:t>ГОСТ 14254-2015 (</w:t>
            </w:r>
            <w:r>
              <w:rPr>
                <w:rFonts w:cs="Arial"/>
                <w:sz w:val="20"/>
                <w:szCs w:val="20"/>
                <w:lang w:val="en-US"/>
              </w:rPr>
              <w:t>IEC</w:t>
            </w:r>
            <w:r>
              <w:rPr>
                <w:rFonts w:cs="Arial"/>
                <w:sz w:val="20"/>
                <w:szCs w:val="20"/>
              </w:rPr>
              <w:t xml:space="preserve"> 60529-2013)</w:t>
            </w:r>
          </w:p>
        </w:tc>
      </w:tr>
      <w:tr>
        <w:trPr>
          <w:trHeight w:val="223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7383147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US"/>
              </w:rPr>
              <w:t>IP</w:t>
            </w:r>
            <w:r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 xml:space="preserve">0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 xml:space="preserve">по лицевой панели </w:t>
            </w:r>
            <w:r>
              <w:rPr>
                <w:rFonts w:cs="Arial"/>
                <w:szCs w:val="20"/>
              </w:rPr>
              <w:t>(</w:t>
            </w:r>
            <w:r>
              <w:rPr>
                <w:rFonts w:cs="Arial"/>
                <w:szCs w:val="20"/>
              </w:rPr>
              <w:t>типовое)</w:t>
            </w:r>
          </w:p>
        </w:tc>
      </w:tr>
      <w:tr>
        <w:trPr>
          <w:trHeight w:val="257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13530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IP52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 лицевой панели</w:t>
            </w:r>
          </w:p>
        </w:tc>
      </w:tr>
      <w:tr>
        <w:trPr>
          <w:trHeight w:val="237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36433585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IP</w:t>
            </w:r>
            <w:r>
              <w:rPr>
                <w:rFonts w:cs="Arial"/>
                <w:szCs w:val="20"/>
              </w:rPr>
              <w:t>52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терминала в целом при использовании дополнительного защитного каркаса; кроме входных и выходных зажимов для подключения проводников</w:t>
            </w:r>
          </w:p>
        </w:tc>
      </w:tr>
    </w:tbl>
    <w:p>
      <w:pPr>
        <w:pStyle w:val="usual"/>
        <w:tabs>
          <w:tab w:val="left" w:pos="284"/>
        </w:tabs>
        <w:spacing w:line="240" w:lineRule="auto"/>
        <w:ind w:left="360" w:firstLine="0"/>
        <w:rPr>
          <w:sz w:val="20"/>
        </w:rPr>
      </w:pPr>
    </w:p>
    <w:p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  <w:r>
        <w:rPr>
          <w:sz w:val="20"/>
        </w:rPr>
        <w:t>2.2. Выбор класса безопасности для применения на АЭС</w:t>
      </w:r>
      <w:r>
        <w:rPr>
          <w:rFonts w:cs="Arial"/>
          <w:szCs w:val="20"/>
          <w:vertAlign w:val="superscript"/>
        </w:rPr>
        <w:t>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962"/>
      </w:tblGrid>
      <w:tr>
        <w:tc>
          <w:tcPr>
            <w:tcW w:w="5637" w:type="dxa"/>
            <w:gridSpan w:val="2"/>
            <w:vAlign w:val="center"/>
          </w:tcPr>
          <w:p>
            <w:pPr>
              <w:pStyle w:val="usual101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Классификационное обозначение по НП-001-15</w:t>
            </w:r>
          </w:p>
        </w:tc>
      </w:tr>
      <w:tr>
        <w:trPr>
          <w:trHeight w:val="223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-204967136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675" w:type="dxa"/>
                <w:tcBorders>
                  <w:right w:val="nil"/>
                </w:tcBorders>
                <w:vAlign w:val="center"/>
              </w:tcPr>
              <w:p>
                <w:pPr>
                  <w:pStyle w:val="usual"/>
                  <w:spacing w:line="240" w:lineRule="auto"/>
                  <w:ind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4Н (типовое)</w:t>
            </w:r>
          </w:p>
        </w:tc>
      </w:tr>
      <w:tr>
        <w:trPr>
          <w:trHeight w:val="56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199012815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675" w:type="dxa"/>
                <w:tcBorders>
                  <w:right w:val="nil"/>
                </w:tcBorders>
                <w:vAlign w:val="center"/>
              </w:tcPr>
              <w:p>
                <w:pPr>
                  <w:pStyle w:val="usual"/>
                  <w:spacing w:line="240" w:lineRule="auto"/>
                  <w:ind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3Н, 3О, 3У, 3НО, 3НУ</w:t>
            </w:r>
          </w:p>
        </w:tc>
      </w:tr>
      <w:tr>
        <w:trPr>
          <w:trHeight w:val="66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166905228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675" w:type="dxa"/>
                <w:tcBorders>
                  <w:right w:val="nil"/>
                </w:tcBorders>
                <w:vAlign w:val="center"/>
              </w:tcPr>
              <w:p>
                <w:pPr>
                  <w:pStyle w:val="usual"/>
                  <w:spacing w:line="240" w:lineRule="auto"/>
                  <w:ind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2Н, 2О, 2У, 2НО, 2НУ</w:t>
            </w:r>
          </w:p>
        </w:tc>
      </w:tr>
      <w:tr>
        <w:trPr>
          <w:trHeight w:val="294"/>
        </w:trPr>
        <w:tc>
          <w:tcPr>
            <w:tcW w:w="5637" w:type="dxa"/>
            <w:gridSpan w:val="2"/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14"/>
                <w:u w:val="single"/>
              </w:rPr>
            </w:pPr>
            <w:r>
              <w:object w:dxaOrig="2036" w:dyaOrig="170">
                <v:shape id="_x0000_i1037" type="#_x0000_t75" style="width:98.25pt;height:4.5pt" o:ole="">
                  <v:imagedata r:id="rId8" o:title=""/>
                </v:shape>
                <o:OLEObject Type="Embed" ProgID="Visio.Drawing.11" ShapeID="_x0000_i1037" DrawAspect="Content" ObjectID="_1642834467" r:id="rId10"/>
              </w:object>
            </w:r>
          </w:p>
          <w:p>
            <w:pPr>
              <w:pStyle w:val="usual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14"/>
                <w:szCs w:val="14"/>
              </w:rPr>
              <w:t>* Выбирается только при поставке на АЭС</w:t>
            </w:r>
          </w:p>
        </w:tc>
      </w:tr>
    </w:tbl>
    <w:p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sz w:val="20"/>
        </w:rPr>
      </w:pPr>
      <w:r>
        <w:rPr>
          <w:sz w:val="20"/>
        </w:rPr>
        <w:t>Интерфейсы</w:t>
      </w:r>
      <w:r>
        <w:rPr>
          <w:sz w:val="20"/>
        </w:rPr>
        <w:t xml:space="preserve"> для подключения к локальной сети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437"/>
        <w:gridCol w:w="2269"/>
        <w:gridCol w:w="437"/>
        <w:gridCol w:w="128"/>
        <w:gridCol w:w="4819"/>
      </w:tblGrid>
      <w:tr>
        <w:tc>
          <w:tcPr>
            <w:tcW w:w="2224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 w:val="20"/>
                <w:szCs w:val="20"/>
              </w:rPr>
              <w:t>Параметры</w:t>
            </w:r>
          </w:p>
        </w:tc>
        <w:tc>
          <w:tcPr>
            <w:tcW w:w="8090" w:type="dxa"/>
            <w:gridSpan w:val="5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 w:val="20"/>
                <w:szCs w:val="20"/>
              </w:rPr>
              <w:t>Интерфейс (порт)</w:t>
            </w:r>
          </w:p>
        </w:tc>
      </w:tr>
      <w:tr>
        <w:tc>
          <w:tcPr>
            <w:tcW w:w="2224" w:type="dxa"/>
            <w:vMerge/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szCs w:val="20"/>
                <w:vertAlign w:val="superscript"/>
              </w:rPr>
              <w:t>*</w:t>
            </w:r>
          </w:p>
        </w:tc>
        <w:tc>
          <w:tcPr>
            <w:tcW w:w="53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Ethernet</w:t>
            </w:r>
          </w:p>
        </w:tc>
      </w:tr>
      <w:tr>
        <w:tc>
          <w:tcPr>
            <w:tcW w:w="2224" w:type="dxa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Электрический</w:t>
            </w:r>
          </w:p>
        </w:tc>
        <w:tc>
          <w:tcPr>
            <w:tcW w:w="538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Электрический (R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J</w:t>
            </w:r>
            <w:r>
              <w:rPr>
                <w:rFonts w:cs="Arial"/>
                <w:color w:val="000000"/>
                <w:sz w:val="20"/>
                <w:szCs w:val="20"/>
              </w:rPr>
              <w:t>-45)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(типовой)</w:t>
            </w:r>
          </w:p>
        </w:tc>
      </w:tr>
      <w:tr>
        <w:tc>
          <w:tcPr>
            <w:tcW w:w="2224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Протоколы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связи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>
              <w:rPr>
                <w:rFonts w:cs="Arial"/>
                <w:color w:val="000000"/>
                <w:sz w:val="20"/>
                <w:szCs w:val="20"/>
              </w:rPr>
              <w:t>для интеграции</w:t>
            </w:r>
          </w:p>
        </w:tc>
        <w:sdt>
          <w:sdtPr>
            <w:rPr>
              <w:rFonts w:cs="Arial"/>
              <w:szCs w:val="20"/>
            </w:rPr>
            <w:id w:val="-910387419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7" w:type="dxa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Modbus RTU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-1020542416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565" w:type="dxa"/>
                <w:gridSpan w:val="2"/>
                <w:tcBorders>
                  <w:bottom w:val="nil"/>
                  <w:right w:val="nil"/>
                </w:tcBorders>
                <w:shd w:val="clear" w:color="auto" w:fill="auto"/>
              </w:tcPr>
              <w:p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81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Modbus TCP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>
        <w:tc>
          <w:tcPr>
            <w:tcW w:w="2224" w:type="dxa"/>
            <w:vMerge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972182254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МЭК 60870-5-103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2009097425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8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SNTP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>
        <w:tc>
          <w:tcPr>
            <w:tcW w:w="2224" w:type="dxa"/>
            <w:vMerge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cs="Arial"/>
              <w:szCs w:val="20"/>
            </w:rPr>
            <w:id w:val="-1412231788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8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МЭК 60870-5-104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>
        <w:tc>
          <w:tcPr>
            <w:tcW w:w="2224" w:type="dxa"/>
            <w:vMerge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МЭК61850-8.1"/>
            <w:tag w:val="МЭК61850-8.1"/>
            <w:id w:val="1703203489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</w:rPr>
                </w:pPr>
                <w:r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94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left="162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МЭК 61850-8-1 (MMS</w:t>
            </w:r>
            <w:r>
              <w:rPr>
                <w:rFonts w:cs="Arial"/>
                <w:color w:val="000000"/>
                <w:sz w:val="20"/>
                <w:szCs w:val="20"/>
              </w:rPr>
              <w:t>+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GOOSE</w:t>
            </w:r>
            <w:r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>
        <w:tc>
          <w:tcPr>
            <w:tcW w:w="2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</w:t>
            </w:r>
            <w:r>
              <w:rPr>
                <w:rFonts w:cs="Arial"/>
                <w:color w:val="000000"/>
                <w:sz w:val="20"/>
                <w:szCs w:val="20"/>
              </w:rPr>
              <w:t>езервировани</w:t>
            </w:r>
            <w:r>
              <w:rPr>
                <w:rFonts w:cs="Arial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Cs w:val="20"/>
              </w:rPr>
              <w:t>-</w:t>
            </w:r>
          </w:p>
        </w:tc>
        <w:sdt>
          <w:sdtPr>
            <w:rPr>
              <w:rFonts w:cs="Arial"/>
              <w:szCs w:val="20"/>
            </w:rPr>
            <w:id w:val="1333419512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565" w:type="dxa"/>
                <w:gridSpan w:val="2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40" w:lineRule="auto"/>
                  <w:ind w:firstLine="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81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Сетевого подключения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– LinkBackUp</w:t>
            </w:r>
          </w:p>
        </w:tc>
      </w:tr>
      <w:tr>
        <w:tc>
          <w:tcPr>
            <w:tcW w:w="1031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sz w:val="16"/>
                <w:szCs w:val="20"/>
              </w:rPr>
            </w:pPr>
            <w:r>
              <w:object w:dxaOrig="2036" w:dyaOrig="170">
                <v:shape id="_x0000_i1027" type="#_x0000_t75" style="width:98.25pt;height:3pt" o:ole="">
                  <v:imagedata r:id="rId8" o:title=""/>
                </v:shape>
                <o:OLEObject Type="Embed" ProgID="Visio.Drawing.11" ShapeID="_x0000_i1027" DrawAspect="Content" ObjectID="_1642834468" r:id="rId11"/>
              </w:object>
            </w:r>
          </w:p>
          <w:p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20"/>
              </w:rPr>
            </w:pPr>
            <w:r>
              <w:rPr>
                <w:sz w:val="14"/>
              </w:rPr>
              <w:t xml:space="preserve">* </w:t>
            </w:r>
            <w:r>
              <w:rPr>
                <w:sz w:val="14"/>
                <w:szCs w:val="14"/>
              </w:rPr>
              <w:t>Протокол выбирается при настройке через АРМ-релейщика, не более одной выбранной позиции</w:t>
            </w:r>
            <w:r>
              <w:rPr>
                <w:rFonts w:cs="Arial"/>
                <w:sz w:val="18"/>
                <w:szCs w:val="20"/>
              </w:rPr>
              <w:t>.</w:t>
            </w:r>
          </w:p>
        </w:tc>
      </w:tr>
    </w:tbl>
    <w:p>
      <w:pPr>
        <w:pStyle w:val="usual"/>
        <w:tabs>
          <w:tab w:val="left" w:pos="284"/>
        </w:tabs>
        <w:spacing w:line="240" w:lineRule="auto"/>
        <w:ind w:firstLine="0"/>
        <w:rPr>
          <w:sz w:val="20"/>
          <w:szCs w:val="20"/>
        </w:rPr>
      </w:pPr>
    </w:p>
    <w:p>
      <w:pPr>
        <w:pStyle w:val="usual"/>
        <w:ind w:firstLine="0"/>
      </w:pPr>
      <w:r>
        <w:br w:type="page"/>
      </w:r>
    </w:p>
    <w:p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cs="Arial"/>
          <w:b/>
          <w:sz w:val="20"/>
          <w:szCs w:val="20"/>
        </w:rPr>
      </w:pPr>
      <w:r>
        <w:rPr>
          <w:sz w:val="20"/>
        </w:rPr>
        <w:lastRenderedPageBreak/>
        <w:t xml:space="preserve">Характеристики </w:t>
      </w:r>
      <w:r>
        <w:rPr>
          <w:sz w:val="20"/>
        </w:rPr>
        <w:t>терминала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6"/>
        <w:gridCol w:w="1417"/>
        <w:gridCol w:w="708"/>
        <w:gridCol w:w="5670"/>
      </w:tblGrid>
      <w:tr>
        <w:trPr>
          <w:trHeight w:val="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26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>
        <w:trPr>
          <w:trHeight w:val="2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Номинал аналоговых входов (тока)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А</w:t>
            </w:r>
          </w:p>
        </w:tc>
      </w:tr>
      <w:tr>
        <w:trPr>
          <w:trHeight w:val="220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7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А (типовой)</w:t>
            </w:r>
          </w:p>
        </w:tc>
      </w:tr>
      <w:tr>
        <w:trPr>
          <w:trHeight w:val="52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Номинал аналоговых входов (напряжения)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 В</w:t>
            </w:r>
            <w:r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</w:tc>
      </w:tr>
      <w:tr>
        <w:trPr>
          <w:trHeight w:val="3226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Функции защит</w:t>
            </w:r>
          </w:p>
          <w:p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right="-108" w:firstLine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Трехступенчатая максимальная токовая защита от междуфазных повреждений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</w:p>
          <w:p>
            <w:pPr>
              <w:spacing w:line="240" w:lineRule="auto"/>
              <w:ind w:right="-108" w:firstLine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Комбинированный пуск по напряжению (вольтметровая блокировка).</w:t>
            </w:r>
          </w:p>
          <w:p>
            <w:pPr>
              <w:spacing w:line="240" w:lineRule="auto"/>
              <w:ind w:right="-108" w:firstLine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несимметричного режима.</w:t>
            </w:r>
          </w:p>
          <w:p>
            <w:pPr>
              <w:spacing w:line="240" w:lineRule="auto"/>
              <w:ind w:right="-108" w:firstLine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Контроль исправности вторичных цепей ТН.</w:t>
            </w:r>
          </w:p>
          <w:p>
            <w:pPr>
              <w:spacing w:line="240" w:lineRule="auto"/>
              <w:ind w:right="-108" w:firstLine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Контроль исправности вторичных цепей ТТ.</w:t>
            </w:r>
          </w:p>
          <w:p>
            <w:pPr>
              <w:spacing w:line="240" w:lineRule="auto"/>
              <w:ind w:right="-108"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однофазных замыканий на землю</w:t>
            </w:r>
            <w:r>
              <w:rPr>
                <w:rFonts w:cs="Arial"/>
                <w:sz w:val="20"/>
                <w:szCs w:val="20"/>
              </w:rPr>
              <w:t>.</w:t>
            </w:r>
          </w:p>
          <w:p>
            <w:pPr>
              <w:spacing w:line="240" w:lineRule="auto"/>
              <w:ind w:right="-108" w:firstLine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двойных замыканий на землю.</w:t>
            </w:r>
          </w:p>
          <w:p>
            <w:pPr>
              <w:spacing w:line="240" w:lineRule="auto"/>
              <w:ind w:right="-108" w:firstLine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феррорезонанса.</w:t>
            </w:r>
          </w:p>
          <w:p>
            <w:pPr>
              <w:spacing w:line="240" w:lineRule="auto"/>
              <w:ind w:right="-108" w:firstLine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минимального напряжения.</w:t>
            </w:r>
          </w:p>
          <w:p>
            <w:pPr>
              <w:spacing w:line="240" w:lineRule="auto"/>
              <w:ind w:right="-108" w:firstLine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повышения напряжения.</w:t>
            </w:r>
          </w:p>
          <w:p>
            <w:pPr>
              <w:spacing w:line="240" w:lineRule="auto"/>
              <w:ind w:right="-108" w:firstLine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дуговых замыканий.</w:t>
            </w:r>
          </w:p>
          <w:p>
            <w:pPr>
              <w:spacing w:line="240" w:lineRule="auto"/>
              <w:ind w:right="-108" w:firstLine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потери питания.</w:t>
            </w:r>
          </w:p>
          <w:p>
            <w:pPr>
              <w:spacing w:line="240" w:lineRule="auto"/>
              <w:ind w:right="-108" w:firstLine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Устройство</w:t>
            </w:r>
            <w:r>
              <w:rPr>
                <w:rFonts w:cs="Arial"/>
                <w:b/>
                <w:sz w:val="20"/>
                <w:szCs w:val="20"/>
              </w:rPr>
              <w:t xml:space="preserve"> резервирования отказа выключателя с контролем тока.</w:t>
            </w:r>
          </w:p>
          <w:p>
            <w:pPr>
              <w:spacing w:line="240" w:lineRule="auto"/>
              <w:ind w:right="-108" w:firstLine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Логическая защита шин.</w:t>
            </w:r>
          </w:p>
        </w:tc>
      </w:tr>
      <w:tr>
        <w:trPr>
          <w:trHeight w:val="505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Функции автоматики</w:t>
            </w:r>
          </w:p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Автоматический ввод резерва.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Автоматическое повторное включение</w:t>
            </w:r>
            <w:r>
              <w:rPr>
                <w:rFonts w:cs="Arial"/>
                <w:sz w:val="20"/>
                <w:szCs w:val="20"/>
              </w:rPr>
              <w:t>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Восстановление нормального режима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>
        <w:trPr>
          <w:trHeight w:val="326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Функции управления выключателем (типовой набор)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Авт</w:t>
            </w:r>
            <w:r>
              <w:rPr>
                <w:rFonts w:cs="Arial"/>
                <w:b/>
                <w:sz w:val="20"/>
                <w:szCs w:val="20"/>
              </w:rPr>
              <w:t>оматика управления выключателем.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Отключение от внешних цепей.</w:t>
            </w:r>
          </w:p>
        </w:tc>
      </w:tr>
      <w:tr>
        <w:trPr>
          <w:trHeight w:val="34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Функции сигнализации</w:t>
            </w:r>
          </w:p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Учет механического и коммутационного ресурса выключателя.</w:t>
            </w:r>
          </w:p>
        </w:tc>
      </w:tr>
      <w:tr>
        <w:trPr>
          <w:trHeight w:val="825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Функция измерения и обработки электрических и технологических параметров присоединения (функция СИ)**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fa"/>
              <w:contextualSpacing/>
              <w:jc w:val="center"/>
              <w:rPr>
                <w:rFonts w:eastAsia="MS Mincho"/>
                <w:sz w:val="24"/>
              </w:rPr>
            </w:pPr>
            <w:r>
              <w:rPr>
                <w:sz w:val="20"/>
                <w:szCs w:val="20"/>
              </w:rPr>
              <w:t>Первичная м</w:t>
            </w:r>
            <w:r>
              <w:rPr>
                <w:sz w:val="20"/>
                <w:szCs w:val="20"/>
              </w:rPr>
              <w:t>етрологическая поверка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-33383746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fa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f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</w:t>
            </w:r>
          </w:p>
        </w:tc>
      </w:tr>
      <w:tr>
        <w:trPr>
          <w:trHeight w:val="34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fa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-46073441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fa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f7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>
        <w:trPr>
          <w:trHeight w:val="297"/>
        </w:trPr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before="60" w:line="240" w:lineRule="auto"/>
              <w:ind w:firstLine="0"/>
              <w:rPr>
                <w:rFonts w:cs="Arial"/>
                <w:sz w:val="8"/>
                <w:szCs w:val="8"/>
              </w:rPr>
            </w:pPr>
            <w:r>
              <w:object w:dxaOrig="2036" w:dyaOrig="170">
                <v:shape id="_x0000_i1028" type="#_x0000_t75" style="width:98.25pt;height:3pt" o:ole="">
                  <v:imagedata r:id="rId8" o:title=""/>
                </v:shape>
                <o:OLEObject Type="Embed" ProgID="Visio.Drawing.11" ShapeID="_x0000_i1028" DrawAspect="Content" ObjectID="_1642834469" r:id="rId12"/>
              </w:object>
            </w:r>
          </w:p>
          <w:p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* Возможна работа в расширенном диапазоне напряжений переменного тока частотой 50Гц с верхними пределами действующих значений 264 В</w:t>
            </w:r>
            <w:r>
              <w:rPr>
                <w:rFonts w:cs="Arial"/>
                <w:sz w:val="14"/>
                <w:szCs w:val="14"/>
              </w:rPr>
              <w:t>.</w:t>
            </w:r>
          </w:p>
          <w:p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** </w:t>
            </w:r>
            <w:r>
              <w:rPr>
                <w:sz w:val="14"/>
                <w:szCs w:val="14"/>
              </w:rPr>
              <w:t>Пр</w:t>
            </w:r>
            <w:r>
              <w:rPr>
                <w:sz w:val="14"/>
                <w:szCs w:val="14"/>
              </w:rPr>
              <w:t>и наличии данной функции необходимо указать уточняющую информацию в приложении А.</w:t>
            </w:r>
          </w:p>
        </w:tc>
      </w:tr>
    </w:tbl>
    <w:p>
      <w:pPr>
        <w:pStyle w:val="usual"/>
        <w:tabs>
          <w:tab w:val="left" w:pos="284"/>
        </w:tabs>
        <w:spacing w:line="240" w:lineRule="auto"/>
        <w:ind w:firstLine="0"/>
        <w:rPr>
          <w:rFonts w:cs="Arial"/>
          <w:sz w:val="8"/>
          <w:szCs w:val="8"/>
        </w:rPr>
      </w:pPr>
    </w:p>
    <w:p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>Дополнительное о</w:t>
      </w:r>
      <w:r>
        <w:rPr>
          <w:rStyle w:val="af9"/>
          <w:rFonts w:cs="Arial"/>
          <w:b w:val="0"/>
          <w:sz w:val="20"/>
          <w:szCs w:val="20"/>
        </w:rPr>
        <w:t>борудование для организации локальной сети</w:t>
      </w:r>
    </w:p>
    <w:tbl>
      <w:tblPr>
        <w:tblW w:w="50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"/>
        <w:gridCol w:w="461"/>
        <w:gridCol w:w="7697"/>
        <w:gridCol w:w="1594"/>
      </w:tblGrid>
      <w:tr>
        <w:trPr>
          <w:trHeight w:val="284"/>
        </w:trPr>
        <w:tc>
          <w:tcPr>
            <w:tcW w:w="4219" w:type="pct"/>
            <w:gridSpan w:val="3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>
        <w:trPr>
          <w:trHeight w:val="284"/>
        </w:trPr>
        <w:sdt>
          <w:sdtPr>
            <w:rPr>
              <w:rFonts w:cs="Arial"/>
              <w:b/>
              <w:sz w:val="14"/>
              <w:szCs w:val="14"/>
            </w:rPr>
            <w:id w:val="-374089113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223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b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Промышленный кабель для интерфейса </w:t>
            </w:r>
            <w:r>
              <w:rPr>
                <w:rFonts w:cs="Arial"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sz w:val="20"/>
                <w:szCs w:val="20"/>
              </w:rPr>
              <w:t>-485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сечением 0,76 мм</w:t>
            </w: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(1 витая пара, 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84"/>
        </w:trPr>
        <w:tc>
          <w:tcPr>
            <w:tcW w:w="223" w:type="pct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996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Промышленный кабель для передачи данных </w:t>
            </w:r>
            <w:r>
              <w:rPr>
                <w:rFonts w:cs="Arial"/>
                <w:sz w:val="20"/>
                <w:szCs w:val="20"/>
                <w:lang w:val="en-US"/>
              </w:rPr>
              <w:t>Industrial</w:t>
            </w:r>
            <w:r>
              <w:rPr>
                <w:rFonts w:cs="Arial"/>
                <w:sz w:val="20"/>
                <w:szCs w:val="20"/>
              </w:rPr>
              <w:t xml:space="preserve"> Ethernet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  <w:r>
              <w:rPr>
                <w:rFonts w:cs="Arial"/>
                <w:sz w:val="20"/>
                <w:szCs w:val="20"/>
              </w:rPr>
              <w:t>, (катушка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76"/>
        </w:trPr>
        <w:tc>
          <w:tcPr>
            <w:tcW w:w="223" w:type="pct"/>
            <w:vMerge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b/>
              <w:sz w:val="14"/>
              <w:szCs w:val="14"/>
            </w:rPr>
            <w:id w:val="489757970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226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b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марка кабеля </w:t>
            </w:r>
            <w:r>
              <w:rPr>
                <w:rFonts w:cs="Arial"/>
                <w:sz w:val="20"/>
                <w:szCs w:val="20"/>
                <w:lang w:val="en-US"/>
              </w:rPr>
              <w:t>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>
        <w:trPr>
          <w:trHeight w:val="284"/>
        </w:trPr>
        <w:tc>
          <w:tcPr>
            <w:tcW w:w="223" w:type="pct"/>
            <w:vMerge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b/>
              <w:sz w:val="14"/>
              <w:szCs w:val="14"/>
            </w:rPr>
            <w:id w:val="-2004651142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226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марка кабеля </w:t>
            </w:r>
            <w:r>
              <w:rPr>
                <w:rFonts w:cs="Arial"/>
                <w:sz w:val="20"/>
                <w:szCs w:val="20"/>
                <w:lang w:val="en-US"/>
              </w:rPr>
              <w:t>SFTP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****</w:t>
            </w:r>
          </w:p>
        </w:tc>
      </w:tr>
      <w:tr>
        <w:trPr>
          <w:trHeight w:val="284"/>
        </w:trPr>
        <w:sdt>
          <w:sdtPr>
            <w:rPr>
              <w:sz w:val="14"/>
              <w:szCs w:val="14"/>
            </w:rPr>
            <w:id w:val="1771739237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223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Персональный компьютер для сбора информации</w:t>
            </w:r>
            <w:r>
              <w:rPr>
                <w:rFonts w:cs="Arial"/>
                <w:sz w:val="20"/>
                <w:szCs w:val="20"/>
              </w:rPr>
              <w:t>, шт</w:t>
            </w:r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84"/>
        </w:trPr>
        <w:sdt>
          <w:sdtPr>
            <w:rPr>
              <w:sz w:val="14"/>
              <w:szCs w:val="14"/>
            </w:rPr>
            <w:id w:val="-934737206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223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</w:t>
            </w:r>
            <w:r>
              <w:rPr>
                <w:rFonts w:cs="Arial"/>
                <w:sz w:val="20"/>
                <w:szCs w:val="20"/>
              </w:rPr>
              <w:t xml:space="preserve">даптер </w:t>
            </w:r>
            <w:r>
              <w:rPr>
                <w:rFonts w:cs="Arial"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sz w:val="20"/>
                <w:szCs w:val="20"/>
              </w:rPr>
              <w:t>-485</w:t>
            </w:r>
            <w:r>
              <w:rPr>
                <w:rFonts w:cs="Arial"/>
                <w:sz w:val="20"/>
                <w:szCs w:val="20"/>
              </w:rPr>
              <w:t xml:space="preserve"> для встраивания в компьютер, шт</w:t>
            </w:r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84"/>
        </w:trPr>
        <w:sdt>
          <w:sdtPr>
            <w:rPr>
              <w:sz w:val="14"/>
              <w:szCs w:val="14"/>
            </w:rPr>
            <w:id w:val="931782467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223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Портативный персональный компьютер (</w:t>
            </w:r>
            <w:r>
              <w:rPr>
                <w:rFonts w:cs="Arial"/>
                <w:sz w:val="20"/>
                <w:szCs w:val="20"/>
                <w:lang w:val="en-US"/>
              </w:rPr>
              <w:t>Notebook</w:t>
            </w:r>
            <w:r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, шт</w:t>
            </w:r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741"/>
        </w:trPr>
        <w:tc>
          <w:tcPr>
            <w:tcW w:w="5000" w:type="pct"/>
            <w:gridSpan w:val="4"/>
            <w:vAlign w:val="center"/>
          </w:tcPr>
          <w:p>
            <w:pPr>
              <w:ind w:firstLine="0"/>
              <w:rPr>
                <w:rFonts w:cs="Arial"/>
                <w:sz w:val="14"/>
                <w:szCs w:val="14"/>
                <w:vertAlign w:val="superscript"/>
              </w:rPr>
            </w:pPr>
            <w:r>
              <w:object w:dxaOrig="2036" w:dyaOrig="170">
                <v:shape id="_x0000_i1029" type="#_x0000_t75" style="width:98.25pt;height:3pt" o:ole="">
                  <v:imagedata r:id="rId8" o:title=""/>
                </v:shape>
                <o:OLEObject Type="Embed" ProgID="Visio.Drawing.11" ShapeID="_x0000_i1029" DrawAspect="Content" ObjectID="_1642834470" r:id="rId13"/>
              </w:object>
            </w:r>
          </w:p>
          <w:p>
            <w:pPr>
              <w:spacing w:line="240" w:lineRule="auto"/>
              <w:ind w:firstLin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* </w:t>
            </w:r>
            <w:r>
              <w:rPr>
                <w:rFonts w:cs="Arial"/>
                <w:sz w:val="14"/>
                <w:szCs w:val="14"/>
              </w:rPr>
              <w:t>Для прокладки вне помещения, в условиях сильных электромагнитных п</w:t>
            </w:r>
            <w:r>
              <w:rPr>
                <w:rFonts w:cs="Arial"/>
                <w:sz w:val="14"/>
                <w:szCs w:val="14"/>
              </w:rPr>
              <w:t>олей и при большой длине кабеля.</w:t>
            </w:r>
          </w:p>
          <w:p>
            <w:pPr>
              <w:spacing w:line="240" w:lineRule="auto"/>
              <w:ind w:firstLin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**</w:t>
            </w:r>
            <w:r>
              <w:rPr>
                <w:rFonts w:cs="Arial"/>
                <w:sz w:val="14"/>
                <w:szCs w:val="14"/>
              </w:rPr>
              <w:t xml:space="preserve"> Выбирается при организации локальной сети по интерфейсу </w:t>
            </w:r>
            <w:r>
              <w:rPr>
                <w:rFonts w:cs="Arial"/>
                <w:sz w:val="14"/>
                <w:szCs w:val="14"/>
                <w:lang w:val="en-US"/>
              </w:rPr>
              <w:t>Ethernet</w:t>
            </w:r>
            <w:r>
              <w:rPr>
                <w:rFonts w:cs="Arial"/>
                <w:sz w:val="14"/>
                <w:szCs w:val="14"/>
              </w:rPr>
              <w:t>.</w:t>
            </w:r>
          </w:p>
          <w:p>
            <w:pPr>
              <w:spacing w:line="240" w:lineRule="auto"/>
              <w:ind w:firstLin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*** </w:t>
            </w:r>
            <w:r>
              <w:rPr>
                <w:rFonts w:cs="Arial"/>
                <w:sz w:val="14"/>
                <w:szCs w:val="14"/>
              </w:rPr>
              <w:t>Для прокладки внутри помещения в условиях обычных электромагнитных</w:t>
            </w:r>
            <w:r>
              <w:rPr>
                <w:rFonts w:cs="Arial"/>
                <w:sz w:val="14"/>
                <w:szCs w:val="14"/>
              </w:rPr>
              <w:t xml:space="preserve"> полей и небольшой длине кабеля.</w:t>
            </w:r>
          </w:p>
          <w:p>
            <w:pPr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4"/>
                <w:szCs w:val="14"/>
              </w:rPr>
              <w:t xml:space="preserve">**** </w:t>
            </w:r>
            <w:r>
              <w:rPr>
                <w:rFonts w:cs="Arial"/>
                <w:sz w:val="14"/>
                <w:szCs w:val="14"/>
              </w:rPr>
              <w:t>Для прокладки внутри помещения в условиях повышенных электромагнитных полей или при большой длине кабеля.</w:t>
            </w:r>
          </w:p>
        </w:tc>
      </w:tr>
    </w:tbl>
    <w:tbl>
      <w:tblPr>
        <w:tblpPr w:leftFromText="180" w:rightFromText="180" w:vertAnchor="text" w:horzAnchor="margin" w:tblpY="18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8888"/>
      </w:tblGrid>
      <w:tr>
        <w:trPr>
          <w:trHeight w:val="556"/>
        </w:trPr>
        <w:tc>
          <w:tcPr>
            <w:tcW w:w="128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Внимание!</w:t>
            </w:r>
          </w:p>
        </w:tc>
        <w:tc>
          <w:tcPr>
            <w:tcW w:w="888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При необходимости подключения устройства к ЛС и АСУ ТП с использованием оптического кабеля необходимо использовать медиа конвертер. Тип и параметры медиа конвертера, </w:t>
            </w:r>
            <w:r>
              <w:rPr>
                <w:rFonts w:cs="Arial"/>
                <w:sz w:val="14"/>
                <w:szCs w:val="14"/>
                <w:lang w:val="x-none"/>
              </w:rPr>
              <w:t>оптического кабеля связи для ЛС и АСУ ТП</w:t>
            </w:r>
            <w:r>
              <w:rPr>
                <w:rFonts w:cs="Arial"/>
                <w:sz w:val="14"/>
                <w:szCs w:val="14"/>
              </w:rPr>
              <w:t>, а так же параметры дополнительного оборудования для организации ЛС</w:t>
            </w:r>
            <w:r>
              <w:rPr>
                <w:rFonts w:cs="Arial"/>
                <w:sz w:val="14"/>
                <w:szCs w:val="14"/>
                <w:lang w:val="x-none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указываются</w:t>
            </w:r>
            <w:r>
              <w:rPr>
                <w:rFonts w:cs="Arial"/>
                <w:sz w:val="14"/>
                <w:szCs w:val="14"/>
                <w:lang w:val="x-none"/>
              </w:rPr>
              <w:t xml:space="preserve"> в разделе</w:t>
            </w:r>
            <w:r>
              <w:rPr>
                <w:rFonts w:cs="Arial"/>
                <w:sz w:val="14"/>
                <w:szCs w:val="14"/>
              </w:rPr>
              <w:t xml:space="preserve"> «</w:t>
            </w:r>
            <w:r>
              <w:rPr>
                <w:rFonts w:cs="Arial"/>
                <w:sz w:val="14"/>
                <w:szCs w:val="14"/>
                <w:lang w:val="x-none"/>
              </w:rPr>
              <w:t>доп</w:t>
            </w:r>
            <w:r>
              <w:rPr>
                <w:rFonts w:cs="Arial"/>
                <w:sz w:val="14"/>
                <w:szCs w:val="14"/>
              </w:rPr>
              <w:t>олнительные</w:t>
            </w:r>
            <w:r>
              <w:rPr>
                <w:rFonts w:cs="Arial"/>
                <w:sz w:val="14"/>
                <w:szCs w:val="14"/>
                <w:lang w:val="x-none"/>
              </w:rPr>
              <w:t xml:space="preserve"> требования</w:t>
            </w:r>
            <w:r>
              <w:rPr>
                <w:rFonts w:cs="Arial"/>
                <w:sz w:val="14"/>
                <w:szCs w:val="14"/>
              </w:rPr>
              <w:t>».</w:t>
            </w:r>
          </w:p>
        </w:tc>
      </w:tr>
    </w:tbl>
    <w:p>
      <w:pPr>
        <w:pStyle w:val="usual"/>
        <w:tabs>
          <w:tab w:val="left" w:pos="284"/>
        </w:tabs>
        <w:spacing w:before="120" w:line="240" w:lineRule="auto"/>
        <w:ind w:firstLine="0"/>
        <w:rPr>
          <w:sz w:val="20"/>
          <w:szCs w:val="20"/>
        </w:rPr>
      </w:pPr>
    </w:p>
    <w:p>
      <w:pPr>
        <w:pStyle w:val="usual"/>
      </w:pPr>
      <w:r>
        <w:br w:type="page"/>
      </w:r>
    </w:p>
    <w:p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>
        <w:rPr>
          <w:sz w:val="20"/>
          <w:szCs w:val="20"/>
        </w:rPr>
        <w:t>Комплект деталей и присоединений</w:t>
      </w:r>
    </w:p>
    <w:tbl>
      <w:tblPr>
        <w:tblStyle w:val="tablecenter"/>
        <w:tblW w:w="0" w:type="auto"/>
        <w:tblLook w:val="04A0" w:firstRow="1" w:lastRow="0" w:firstColumn="1" w:lastColumn="0" w:noHBand="0" w:noVBand="1"/>
      </w:tblPr>
      <w:tblGrid>
        <w:gridCol w:w="390"/>
        <w:gridCol w:w="97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sdt>
          <w:sdtPr>
            <w:rPr>
              <w:rFonts w:cs="Arial"/>
              <w:sz w:val="14"/>
              <w:szCs w:val="14"/>
            </w:rPr>
            <w:id w:val="-470985602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390" w:type="dxa"/>
                <w:tcBorders>
                  <w:right w:val="nil"/>
                </w:tcBorders>
              </w:tcPr>
              <w:p>
                <w:pPr>
                  <w:pStyle w:val="usual"/>
                  <w:tabs>
                    <w:tab w:val="left" w:pos="284"/>
                  </w:tabs>
                  <w:rPr>
                    <w:b w:val="0"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стандартный </w:t>
            </w:r>
            <w:r>
              <w:rPr>
                <w:b w:val="0"/>
                <w:sz w:val="20"/>
                <w:szCs w:val="20"/>
              </w:rPr>
              <w:t>(ЭКРА.305651.021)</w:t>
            </w:r>
          </w:p>
        </w:tc>
      </w:tr>
      <w:tr>
        <w:trPr>
          <w:trHeight w:val="195"/>
        </w:trPr>
        <w:sdt>
          <w:sdtPr>
            <w:rPr>
              <w:sz w:val="14"/>
              <w:szCs w:val="14"/>
            </w:rPr>
            <w:id w:val="-857575518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уменьшенной монтажной глубиной на 30 мм</w:t>
            </w:r>
            <w:r>
              <w:rPr>
                <w:sz w:val="20"/>
                <w:szCs w:val="20"/>
              </w:rPr>
              <w:t xml:space="preserve"> (ЭКРА.687432.001-01)</w:t>
            </w:r>
          </w:p>
        </w:tc>
      </w:tr>
      <w:tr>
        <w:trPr>
          <w:trHeight w:val="130"/>
        </w:trPr>
        <w:sdt>
          <w:sdtPr>
            <w:rPr>
              <w:sz w:val="14"/>
              <w:szCs w:val="14"/>
            </w:rPr>
            <w:id w:val="-140203469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уменьшенной монтажной глубиной на 50 мм</w:t>
            </w:r>
            <w:r>
              <w:rPr>
                <w:sz w:val="20"/>
                <w:szCs w:val="20"/>
              </w:rPr>
              <w:t xml:space="preserve"> (ЭКРА.687432.001)</w:t>
            </w:r>
          </w:p>
        </w:tc>
      </w:tr>
      <w:tr>
        <w:trPr>
          <w:trHeight w:val="130"/>
        </w:trPr>
        <w:sdt>
          <w:sdtPr>
            <w:rPr>
              <w:sz w:val="14"/>
              <w:szCs w:val="14"/>
            </w:rPr>
            <w:id w:val="2135829510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уменьшенной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монтажной глубиной на 96</w:t>
            </w:r>
            <w:r>
              <w:rPr>
                <w:b/>
                <w:sz w:val="20"/>
                <w:szCs w:val="20"/>
                <w:vertAlign w:val="superscript"/>
              </w:rPr>
              <w:t>+4</w:t>
            </w:r>
            <w:r>
              <w:rPr>
                <w:b/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 xml:space="preserve"> (ЭКРА.687432.001-02)</w:t>
            </w:r>
          </w:p>
        </w:tc>
      </w:tr>
      <w:tr>
        <w:trPr>
          <w:trHeight w:val="130"/>
        </w:trPr>
        <w:sdt>
          <w:sdtPr>
            <w:rPr>
              <w:sz w:val="14"/>
              <w:szCs w:val="14"/>
            </w:rPr>
            <w:id w:val="764117641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выносного монтажа ячеек КСО</w:t>
            </w:r>
            <w:r>
              <w:rPr>
                <w:sz w:val="20"/>
                <w:szCs w:val="20"/>
              </w:rPr>
              <w:t xml:space="preserve"> (ЭКРА.301241.189 Каркас)</w:t>
            </w:r>
          </w:p>
        </w:tc>
      </w:tr>
    </w:tbl>
    <w:p>
      <w:pPr>
        <w:pStyle w:val="usual"/>
      </w:pPr>
    </w:p>
    <w:p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>
        <w:rPr>
          <w:sz w:val="20"/>
          <w:szCs w:val="20"/>
        </w:rPr>
        <w:t>Дополнительные требования</w:t>
      </w:r>
    </w:p>
    <w:tbl>
      <w:tblPr>
        <w:tblStyle w:val="tablecen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1592"/>
        <w:gridCol w:w="2349"/>
        <w:gridCol w:w="416"/>
        <w:gridCol w:w="1966"/>
        <w:gridCol w:w="454"/>
        <w:gridCol w:w="192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rPr>
                <w:b w:val="0"/>
                <w:sz w:val="20"/>
                <w:szCs w:val="20"/>
              </w:rPr>
            </w:pPr>
          </w:p>
        </w:tc>
      </w:tr>
      <w:tr>
        <w:tc>
          <w:tcPr>
            <w:tcW w:w="5000" w:type="pct"/>
            <w:gridSpan w:val="7"/>
            <w:tcBorders>
              <w:left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>
        <w:tc>
          <w:tcPr>
            <w:tcW w:w="5000" w:type="pct"/>
            <w:gridSpan w:val="7"/>
            <w:tcBorders>
              <w:top w:val="single" w:sz="4" w:space="0" w:color="auto"/>
            </w:tcBorders>
          </w:tcPr>
          <w:p>
            <w:pPr>
              <w:pStyle w:val="usual"/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f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f5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Предприятие:</w:t>
            </w:r>
          </w:p>
        </w:tc>
        <w:tc>
          <w:tcPr>
            <w:tcW w:w="3524" w:type="pct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af5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2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f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Заполнил:</w:t>
            </w:r>
          </w:p>
        </w:tc>
        <w:tc>
          <w:tcPr>
            <w:tcW w:w="1164" w:type="pct"/>
            <w:tcBorders>
              <w:left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nil"/>
              <w:bottom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nil"/>
              <w:bottom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55" w:type="pct"/>
            <w:tcBorders>
              <w:left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>
      <w:pPr>
        <w:pStyle w:val="usual"/>
        <w:tabs>
          <w:tab w:val="left" w:pos="284"/>
        </w:tabs>
        <w:spacing w:before="120" w:line="240" w:lineRule="auto"/>
        <w:ind w:firstLine="0"/>
        <w:rPr>
          <w:sz w:val="2"/>
          <w:szCs w:val="2"/>
        </w:rPr>
      </w:pPr>
    </w:p>
    <w:p>
      <w:pPr>
        <w:pStyle w:val="usual"/>
        <w:tabs>
          <w:tab w:val="left" w:pos="284"/>
        </w:tabs>
        <w:spacing w:before="120" w:line="240" w:lineRule="auto"/>
        <w:ind w:firstLine="0"/>
        <w:rPr>
          <w:sz w:val="2"/>
          <w:szCs w:val="2"/>
        </w:rPr>
      </w:pPr>
    </w:p>
    <w:p>
      <w:pPr>
        <w:pStyle w:val="usual"/>
        <w:tabs>
          <w:tab w:val="left" w:pos="284"/>
        </w:tabs>
        <w:spacing w:before="120" w:line="240" w:lineRule="auto"/>
        <w:ind w:firstLine="0"/>
        <w:rPr>
          <w:sz w:val="2"/>
          <w:szCs w:val="2"/>
        </w:rPr>
      </w:pPr>
    </w:p>
    <w:p>
      <w:pPr>
        <w:pStyle w:val="usual"/>
        <w:tabs>
          <w:tab w:val="left" w:pos="284"/>
        </w:tabs>
        <w:spacing w:before="120" w:line="240" w:lineRule="auto"/>
        <w:ind w:firstLine="0"/>
        <w:rPr>
          <w:sz w:val="2"/>
          <w:szCs w:val="2"/>
        </w:rPr>
      </w:pPr>
    </w:p>
    <w:p>
      <w:pPr>
        <w:pStyle w:val="usual"/>
        <w:tabs>
          <w:tab w:val="left" w:pos="284"/>
        </w:tabs>
        <w:spacing w:before="120" w:line="240" w:lineRule="auto"/>
        <w:ind w:firstLine="0"/>
        <w:rPr>
          <w:sz w:val="2"/>
          <w:szCs w:val="2"/>
        </w:rPr>
      </w:pPr>
    </w:p>
    <w:p>
      <w:pPr>
        <w:pStyle w:val="usual"/>
        <w:tabs>
          <w:tab w:val="left" w:pos="284"/>
        </w:tabs>
        <w:spacing w:before="120" w:line="240" w:lineRule="auto"/>
        <w:ind w:firstLine="0"/>
        <w:rPr>
          <w:sz w:val="2"/>
          <w:szCs w:val="2"/>
        </w:rPr>
      </w:pPr>
    </w:p>
    <w:p>
      <w:pPr>
        <w:pStyle w:val="usual"/>
        <w:tabs>
          <w:tab w:val="left" w:pos="284"/>
        </w:tabs>
        <w:spacing w:before="120" w:line="240" w:lineRule="auto"/>
        <w:ind w:firstLine="0"/>
        <w:rPr>
          <w:sz w:val="2"/>
          <w:szCs w:val="2"/>
        </w:rPr>
      </w:pPr>
    </w:p>
    <w:p>
      <w:pPr>
        <w:pStyle w:val="usual"/>
        <w:tabs>
          <w:tab w:val="left" w:pos="284"/>
        </w:tabs>
        <w:spacing w:before="120" w:line="240" w:lineRule="auto"/>
        <w:ind w:firstLine="0"/>
        <w:rPr>
          <w:sz w:val="2"/>
          <w:szCs w:val="2"/>
        </w:rPr>
      </w:pPr>
    </w:p>
    <w:p>
      <w:pPr>
        <w:pStyle w:val="usual"/>
        <w:tabs>
          <w:tab w:val="left" w:pos="284"/>
        </w:tabs>
        <w:spacing w:before="120" w:line="240" w:lineRule="auto"/>
        <w:ind w:firstLine="0"/>
        <w:rPr>
          <w:sz w:val="2"/>
          <w:szCs w:val="2"/>
        </w:rPr>
      </w:pPr>
    </w:p>
    <w:p>
      <w:pPr>
        <w:pStyle w:val="usual"/>
        <w:tabs>
          <w:tab w:val="left" w:pos="284"/>
        </w:tabs>
        <w:spacing w:before="120" w:line="240" w:lineRule="auto"/>
        <w:ind w:firstLine="0"/>
        <w:rPr>
          <w:sz w:val="2"/>
          <w:szCs w:val="2"/>
        </w:rPr>
      </w:pPr>
    </w:p>
    <w:p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>
      <w:pPr>
        <w:pStyle w:val="usual"/>
        <w:tabs>
          <w:tab w:val="left" w:pos="284"/>
        </w:tabs>
        <w:spacing w:before="120" w:line="240" w:lineRule="auto"/>
        <w:ind w:firstLine="0"/>
        <w:rPr>
          <w:sz w:val="2"/>
          <w:szCs w:val="2"/>
        </w:rPr>
      </w:pPr>
    </w:p>
    <w:p>
      <w:pPr>
        <w:pStyle w:val="usual"/>
        <w:tabs>
          <w:tab w:val="left" w:pos="284"/>
        </w:tabs>
        <w:spacing w:before="120" w:line="240" w:lineRule="auto"/>
        <w:ind w:firstLine="0"/>
        <w:rPr>
          <w:sz w:val="2"/>
          <w:szCs w:val="2"/>
        </w:rPr>
      </w:pPr>
    </w:p>
    <w:p>
      <w:pPr>
        <w:pStyle w:val="af7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А</w:t>
      </w:r>
    </w:p>
    <w:p>
      <w:pPr>
        <w:pStyle w:val="af7"/>
        <w:spacing w:line="240" w:lineRule="auto"/>
        <w:ind w:firstLine="0"/>
        <w:jc w:val="center"/>
        <w:rPr>
          <w:b/>
        </w:rPr>
      </w:pPr>
      <w:r>
        <w:rPr>
          <w:b/>
        </w:rPr>
        <w:t>Информация для организации оперативных блокировок</w:t>
      </w:r>
    </w:p>
    <w:p>
      <w:pPr>
        <w:pStyle w:val="af7"/>
        <w:spacing w:after="240" w:line="240" w:lineRule="auto"/>
        <w:ind w:firstLine="0"/>
        <w:jc w:val="center"/>
        <w:rPr>
          <w:sz w:val="28"/>
          <w:szCs w:val="28"/>
        </w:rPr>
      </w:pPr>
      <w:r>
        <w:rPr>
          <w:b/>
        </w:rPr>
        <w:t>и/или управления коммутационными аппаратами</w:t>
      </w:r>
    </w:p>
    <w:p>
      <w:pPr>
        <w:pStyle w:val="af7"/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А.1</w:t>
      </w:r>
      <w:r>
        <w:rPr>
          <w:sz w:val="20"/>
          <w:szCs w:val="20"/>
        </w:rPr>
        <w:t xml:space="preserve"> – Дискретные входы терминала №__*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9352"/>
      </w:tblGrid>
      <w:tr>
        <w:trPr>
          <w:trHeight w:hRule="exact" w:val="340"/>
          <w:tblHeader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spacing w:before="20" w:line="240" w:lineRule="auto"/>
              <w:ind w:firstLine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№</w:t>
            </w: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Наименование дискретного входа</w:t>
            </w: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>
            <w:pPr>
              <w:pStyle w:val="31"/>
              <w:spacing w:before="20" w:line="240" w:lineRule="auto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*</w:t>
            </w:r>
          </w:p>
        </w:tc>
        <w:tc>
          <w:tcPr>
            <w:tcW w:w="4687" w:type="pct"/>
            <w:tcBorders>
              <w:bottom w:val="single" w:sz="4" w:space="0" w:color="auto"/>
            </w:tcBorders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</w:tbl>
    <w:p>
      <w:pPr>
        <w:pStyle w:val="31"/>
        <w:spacing w:before="20" w:line="240" w:lineRule="auto"/>
        <w:ind w:right="-28" w:firstLine="0"/>
        <w:rPr>
          <w:rFonts w:cs="Arial"/>
          <w:sz w:val="18"/>
          <w:szCs w:val="22"/>
        </w:rPr>
      </w:pPr>
    </w:p>
    <w:p>
      <w:pPr>
        <w:pStyle w:val="af7"/>
        <w:spacing w:line="240" w:lineRule="auto"/>
        <w:ind w:right="-1" w:firstLine="0"/>
        <w:rPr>
          <w:sz w:val="18"/>
        </w:rPr>
      </w:pPr>
      <w:r>
        <w:rPr>
          <w:sz w:val="18"/>
        </w:rPr>
        <w:t>*</w:t>
      </w:r>
      <w:r>
        <w:rPr>
          <w:sz w:val="18"/>
        </w:rPr>
        <w:t> - при необходимости далее таблица продолжается самостоятельно (рекомендуемое количество резервных входов 15% от общего количества задействованных входов).</w:t>
      </w:r>
    </w:p>
    <w:p>
      <w:pPr>
        <w:rPr>
          <w:rFonts w:cs="Arial"/>
          <w:sz w:val="20"/>
          <w:szCs w:val="20"/>
        </w:rPr>
      </w:pPr>
      <w:r>
        <w:rPr>
          <w:sz w:val="20"/>
          <w:szCs w:val="20"/>
        </w:rPr>
        <w:br w:type="page"/>
      </w:r>
    </w:p>
    <w:p>
      <w:pPr>
        <w:pStyle w:val="af7"/>
        <w:spacing w:after="12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Схема логики оперативных блокировок</w:t>
      </w:r>
    </w:p>
    <w:p>
      <w:pPr>
        <w:pStyle w:val="af7"/>
        <w:spacing w:after="120" w:line="240" w:lineRule="auto"/>
        <w:ind w:right="0" w:firstLine="0"/>
        <w:jc w:val="left"/>
        <w:rPr>
          <w:b/>
          <w:szCs w:val="20"/>
        </w:rPr>
      </w:pPr>
    </w:p>
    <w:p>
      <w:pPr>
        <w:pStyle w:val="usual"/>
        <w:tabs>
          <w:tab w:val="left" w:pos="284"/>
        </w:tabs>
        <w:spacing w:before="120" w:line="240" w:lineRule="auto"/>
        <w:ind w:firstLine="0"/>
        <w:rPr>
          <w:sz w:val="2"/>
          <w:szCs w:val="2"/>
        </w:rPr>
      </w:pPr>
    </w:p>
    <w:sectPr>
      <w:footerReference w:type="even" r:id="rId14"/>
      <w:headerReference w:type="first" r:id="rId15"/>
      <w:footerReference w:type="first" r:id="rId16"/>
      <w:type w:val="continuous"/>
      <w:pgSz w:w="11906" w:h="16838"/>
      <w:pgMar w:top="567" w:right="567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f5"/>
      <w:ind w:firstLine="0"/>
      <w:jc w:val="lef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f5"/>
      <w:ind w:firstLine="0"/>
      <w:jc w:val="right"/>
      <w:rPr>
        <w:sz w:val="16"/>
        <w:szCs w:val="16"/>
      </w:rPr>
    </w:pPr>
    <w:r>
      <w:rPr>
        <w:sz w:val="16"/>
        <w:szCs w:val="16"/>
      </w:rPr>
      <w:t xml:space="preserve">стр.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из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b"/>
    </w:pPr>
    <w:r>
      <w:t>Редакция от 21.04.2015</w:t>
    </w:r>
  </w:p>
  <w:p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3DBE"/>
    <w:multiLevelType w:val="multilevel"/>
    <w:tmpl w:val="77EAEAB8"/>
    <w:styleLink w:val="stylenumbering"/>
    <w:lvl w:ilvl="0">
      <w:start w:val="1"/>
      <w:numFmt w:val="decimal"/>
      <w:pStyle w:val="numbering"/>
      <w:suff w:val="space"/>
      <w:lvlText w:val="%1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>
    <w:nsid w:val="09D67DE5"/>
    <w:multiLevelType w:val="hybridMultilevel"/>
    <w:tmpl w:val="4C6C3B04"/>
    <w:lvl w:ilvl="0" w:tplc="96BC397A">
      <w:start w:val="1"/>
      <w:numFmt w:val="bullet"/>
      <w:pStyle w:val="bullets"/>
      <w:lvlText w:val="–"/>
      <w:lvlJc w:val="left"/>
      <w:pPr>
        <w:ind w:left="1069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8D6EBE"/>
    <w:multiLevelType w:val="multilevel"/>
    <w:tmpl w:val="13C2703C"/>
    <w:numStyleLink w:val="style"/>
  </w:abstractNum>
  <w:abstractNum w:abstractNumId="3">
    <w:nsid w:val="0F705C23"/>
    <w:multiLevelType w:val="hybridMultilevel"/>
    <w:tmpl w:val="9CCA9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E77"/>
    <w:multiLevelType w:val="multilevel"/>
    <w:tmpl w:val="3AD6A768"/>
    <w:numStyleLink w:val="314063"/>
  </w:abstractNum>
  <w:abstractNum w:abstractNumId="5">
    <w:nsid w:val="15E223C4"/>
    <w:multiLevelType w:val="multilevel"/>
    <w:tmpl w:val="2ACEACB4"/>
    <w:numStyleLink w:val="StyleTnumbering"/>
  </w:abstractNum>
  <w:abstractNum w:abstractNumId="6">
    <w:nsid w:val="165208DC"/>
    <w:multiLevelType w:val="hybridMultilevel"/>
    <w:tmpl w:val="23409616"/>
    <w:lvl w:ilvl="0" w:tplc="8D2A11C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4A20"/>
    <w:multiLevelType w:val="multilevel"/>
    <w:tmpl w:val="290C2A5C"/>
    <w:styleLink w:val="style0"/>
    <w:lvl w:ilvl="0">
      <w:start w:val="1"/>
      <w:numFmt w:val="decimal"/>
      <w:pStyle w:val="caption1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caption2"/>
      <w:suff w:val="space"/>
      <w:lvlText w:val="%1.%2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caption3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pStyle w:val="caption5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E0D20BD"/>
    <w:multiLevelType w:val="multilevel"/>
    <w:tmpl w:val="77B87078"/>
    <w:numStyleLink w:val="stylenumbering0"/>
  </w:abstractNum>
  <w:abstractNum w:abstractNumId="9">
    <w:nsid w:val="1ED876F6"/>
    <w:multiLevelType w:val="multilevel"/>
    <w:tmpl w:val="E744BCCE"/>
    <w:numStyleLink w:val="figure3"/>
  </w:abstractNum>
  <w:abstractNum w:abstractNumId="10">
    <w:nsid w:val="2EE24D0E"/>
    <w:multiLevelType w:val="multilevel"/>
    <w:tmpl w:val="290C2A5C"/>
    <w:numStyleLink w:val="style0"/>
  </w:abstractNum>
  <w:abstractNum w:abstractNumId="11">
    <w:nsid w:val="332F4AF7"/>
    <w:multiLevelType w:val="multilevel"/>
    <w:tmpl w:val="858E326C"/>
    <w:numStyleLink w:val="stylenumbering1"/>
  </w:abstractNum>
  <w:abstractNum w:abstractNumId="12">
    <w:nsid w:val="4106526D"/>
    <w:multiLevelType w:val="multilevel"/>
    <w:tmpl w:val="2ACEACB4"/>
    <w:styleLink w:val="StyleTnumbering"/>
    <w:lvl w:ilvl="0">
      <w:start w:val="1"/>
      <w:numFmt w:val="decimal"/>
      <w:pStyle w:val="Tnumbering"/>
      <w:suff w:val="space"/>
      <w:lvlText w:val="%1)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39A3E92"/>
    <w:multiLevelType w:val="hybridMultilevel"/>
    <w:tmpl w:val="73DEA26C"/>
    <w:lvl w:ilvl="0" w:tplc="5CBAD456">
      <w:start w:val="1"/>
      <w:numFmt w:val="bullet"/>
      <w:pStyle w:val="Tbullets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0552D"/>
    <w:multiLevelType w:val="multilevel"/>
    <w:tmpl w:val="693ECE70"/>
    <w:numStyleLink w:val="a"/>
  </w:abstractNum>
  <w:abstractNum w:abstractNumId="15">
    <w:nsid w:val="50A50F50"/>
    <w:multiLevelType w:val="multilevel"/>
    <w:tmpl w:val="13C2703C"/>
    <w:styleLink w:val="style"/>
    <w:lvl w:ilvl="0">
      <w:start w:val="1"/>
      <w:numFmt w:val="decimal"/>
      <w:pStyle w:val="caption10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pStyle w:val="caption20"/>
      <w:suff w:val="space"/>
      <w:lvlText w:val="%1.%2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2">
      <w:start w:val="1"/>
      <w:numFmt w:val="decimal"/>
      <w:pStyle w:val="caption30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0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caption50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38E2B5B"/>
    <w:multiLevelType w:val="multilevel"/>
    <w:tmpl w:val="858E326C"/>
    <w:styleLink w:val="stylenumbering1"/>
    <w:lvl w:ilvl="0">
      <w:start w:val="1"/>
      <w:numFmt w:val="decimal"/>
      <w:pStyle w:val="numbering0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firstLine="709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1440" w:hanging="7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788515F"/>
    <w:multiLevelType w:val="multilevel"/>
    <w:tmpl w:val="E744BCCE"/>
    <w:styleLink w:val="figure3"/>
    <w:lvl w:ilvl="0">
      <w:start w:val="1"/>
      <w:numFmt w:val="decimal"/>
      <w:pStyle w:val="figurename"/>
      <w:suff w:val="space"/>
      <w:lvlText w:val="Рис. %1"/>
      <w:lvlJc w:val="center"/>
      <w:pPr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9847583"/>
    <w:multiLevelType w:val="multilevel"/>
    <w:tmpl w:val="3AD6A768"/>
    <w:styleLink w:val="314063"/>
    <w:lvl w:ilvl="0">
      <w:start w:val="1"/>
      <w:numFmt w:val="bullet"/>
      <w:lvlText w:val="−"/>
      <w:lvlJc w:val="left"/>
      <w:pPr>
        <w:tabs>
          <w:tab w:val="num" w:pos="539"/>
        </w:tabs>
        <w:ind w:left="-425" w:firstLine="709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D5D5076"/>
    <w:multiLevelType w:val="multilevel"/>
    <w:tmpl w:val="77B87078"/>
    <w:styleLink w:val="stylenumbering0"/>
    <w:lvl w:ilvl="0">
      <w:start w:val="1"/>
      <w:numFmt w:val="russianLower"/>
      <w:pStyle w:val="numbering1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hanging="32766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3414559"/>
    <w:multiLevelType w:val="multilevel"/>
    <w:tmpl w:val="693ECE70"/>
    <w:styleLink w:val="a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680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425"/>
        </w:tabs>
        <w:ind w:left="0" w:firstLine="680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14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43"/>
        </w:tabs>
        <w:ind w:left="4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7"/>
        </w:tabs>
        <w:ind w:left="5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5"/>
        </w:tabs>
        <w:ind w:left="875" w:hanging="1584"/>
      </w:pPr>
      <w:rPr>
        <w:rFonts w:hint="default"/>
      </w:rPr>
    </w:lvl>
  </w:abstractNum>
  <w:abstractNum w:abstractNumId="21">
    <w:nsid w:val="76267470"/>
    <w:multiLevelType w:val="multilevel"/>
    <w:tmpl w:val="CEEA9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1"/>
  </w:num>
  <w:num w:numId="5">
    <w:abstractNumId w:val="14"/>
  </w:num>
  <w:num w:numId="6">
    <w:abstractNumId w:val="15"/>
  </w:num>
  <w:num w:numId="7">
    <w:abstractNumId w:val="16"/>
  </w:num>
  <w:num w:numId="8">
    <w:abstractNumId w:val="11"/>
  </w:num>
  <w:num w:numId="9">
    <w:abstractNumId w:val="19"/>
  </w:num>
  <w:num w:numId="10">
    <w:abstractNumId w:val="8"/>
  </w:num>
  <w:num w:numId="11">
    <w:abstractNumId w:val="0"/>
  </w:num>
  <w:num w:numId="12">
    <w:abstractNumId w:val="2"/>
  </w:num>
  <w:num w:numId="13">
    <w:abstractNumId w:val="13"/>
  </w:num>
  <w:num w:numId="14">
    <w:abstractNumId w:val="12"/>
  </w:num>
  <w:num w:numId="15">
    <w:abstractNumId w:val="5"/>
  </w:num>
  <w:num w:numId="16">
    <w:abstractNumId w:val="17"/>
  </w:num>
  <w:num w:numId="17">
    <w:abstractNumId w:val="9"/>
  </w:num>
  <w:num w:numId="18">
    <w:abstractNumId w:val="10"/>
  </w:num>
  <w:num w:numId="19">
    <w:abstractNumId w:val="4"/>
  </w:num>
  <w:num w:numId="20">
    <w:abstractNumId w:val="21"/>
  </w:num>
  <w:num w:numId="21">
    <w:abstractNumId w:val="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09"/>
  <w:clickAndTypeStyle w:val="usual"/>
  <w:evenAndOddHeaders/>
  <w:doNotShadeFormData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5:docId w15:val="{3A212C95-6907-41FD-9B03-79B9AB08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uiPriority="99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34" w:qFormat="1"/>
    <w:lsdException w:name="Intense Quote" w:uiPriority="3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2" w:qFormat="1"/>
    <w:lsdException w:name="Intense Emphasis" w:uiPriority="3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99"/>
  </w:style>
  <w:style w:type="paragraph" w:styleId="1">
    <w:name w:val="heading 1"/>
    <w:basedOn w:val="a0"/>
    <w:next w:val="a0"/>
    <w:uiPriority w:val="99"/>
    <w:unhideWhenUsed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pPr>
      <w:numPr>
        <w:numId w:val="4"/>
      </w:numPr>
      <w:tabs>
        <w:tab w:val="num" w:pos="360"/>
        <w:tab w:val="left" w:pos="936"/>
      </w:tabs>
      <w:ind w:left="0" w:firstLine="709"/>
    </w:pPr>
  </w:style>
  <w:style w:type="paragraph" w:customStyle="1" w:styleId="numbering0">
    <w:name w:val="numbering"/>
    <w:uiPriority w:val="19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pPr>
      <w:spacing w:line="240" w:lineRule="auto"/>
    </w:pPr>
    <w:rPr>
      <w:sz w:val="20"/>
      <w:szCs w:val="20"/>
    </w:rPr>
  </w:style>
  <w:style w:type="numbering" w:customStyle="1" w:styleId="a">
    <w:name w:val="Стиль_мой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Pr>
      <w:sz w:val="20"/>
      <w:szCs w:val="20"/>
    </w:rPr>
  </w:style>
  <w:style w:type="paragraph" w:customStyle="1" w:styleId="usual">
    <w:name w:val="usual"/>
    <w:link w:val="usual0"/>
    <w:uiPriority w:val="14"/>
    <w:qFormat/>
    <w:rPr>
      <w:szCs w:val="24"/>
    </w:rPr>
  </w:style>
  <w:style w:type="paragraph" w:customStyle="1" w:styleId="designation">
    <w:name w:val="designation"/>
    <w:next w:val="usual"/>
    <w:uiPriority w:val="1"/>
    <w:qFormat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pPr>
      <w:numPr>
        <w:numId w:val="2"/>
      </w:numPr>
    </w:pPr>
  </w:style>
  <w:style w:type="paragraph" w:styleId="a8">
    <w:name w:val="caption"/>
    <w:next w:val="usual"/>
    <w:link w:val="a9"/>
    <w:uiPriority w:val="33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Pr>
      <w:rFonts w:cs="Arial"/>
      <w:bCs/>
      <w:szCs w:val="24"/>
    </w:rPr>
  </w:style>
  <w:style w:type="paragraph" w:customStyle="1" w:styleId="caption4">
    <w:name w:val="caption 4"/>
    <w:uiPriority w:val="12"/>
    <w:qFormat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pPr>
      <w:ind w:firstLine="0"/>
    </w:pPr>
    <w:rPr>
      <w:rFonts w:cs="Arial"/>
    </w:rPr>
  </w:style>
  <w:style w:type="table" w:styleId="aa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</w:style>
  <w:style w:type="paragraph" w:customStyle="1" w:styleId="caption20">
    <w:name w:val="caption 2#"/>
    <w:next w:val="usual"/>
    <w:uiPriority w:val="27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pPr>
      <w:numPr>
        <w:numId w:val="6"/>
      </w:numPr>
    </w:pPr>
  </w:style>
  <w:style w:type="paragraph" w:customStyle="1" w:styleId="caption40">
    <w:name w:val="caption 4#"/>
    <w:uiPriority w:val="29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pPr>
      <w:numPr>
        <w:ilvl w:val="4"/>
        <w:numId w:val="12"/>
      </w:numPr>
    </w:pPr>
  </w:style>
  <w:style w:type="paragraph" w:customStyle="1" w:styleId="numbering1">
    <w:name w:val="numbering#"/>
    <w:uiPriority w:val="20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Pr>
      <w:b/>
    </w:rPr>
  </w:style>
  <w:style w:type="paragraph" w:customStyle="1" w:styleId="figurename0">
    <w:name w:val="figure_ name"/>
    <w:next w:val="usual"/>
    <w:uiPriority w:val="22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Pr>
      <w:b/>
      <w:sz w:val="28"/>
    </w:rPr>
  </w:style>
  <w:style w:type="numbering" w:customStyle="1" w:styleId="stylenumbering1">
    <w:name w:val="style_numbering"/>
    <w:basedOn w:val="a3"/>
    <w:uiPriority w:val="99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pPr>
      <w:numPr>
        <w:numId w:val="9"/>
      </w:numPr>
    </w:pPr>
  </w:style>
  <w:style w:type="character" w:customStyle="1" w:styleId="hidden">
    <w:name w:val="hidden"/>
    <w:uiPriority w:val="6"/>
    <w:rPr>
      <w:vanish/>
      <w:lang w:val="en-US"/>
    </w:rPr>
  </w:style>
  <w:style w:type="paragraph" w:customStyle="1" w:styleId="Tusual">
    <w:name w:val="T_usual"/>
    <w:link w:val="Tusual0"/>
    <w:uiPriority w:val="30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Pr>
      <w:szCs w:val="24"/>
    </w:rPr>
  </w:style>
  <w:style w:type="paragraph" w:customStyle="1" w:styleId="Tbullets">
    <w:name w:val="T_bullets"/>
    <w:basedOn w:val="a0"/>
    <w:uiPriority w:val="30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pPr>
      <w:numPr>
        <w:numId w:val="14"/>
      </w:numPr>
    </w:pPr>
  </w:style>
  <w:style w:type="paragraph" w:customStyle="1" w:styleId="Tnumbering">
    <w:name w:val="T_numbering"/>
    <w:uiPriority w:val="30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Pr>
      <w:w w:val="95"/>
    </w:rPr>
  </w:style>
  <w:style w:type="table" w:customStyle="1" w:styleId="TableTop">
    <w:name w:val="Table_Top"/>
    <w:basedOn w:val="a2"/>
    <w:uiPriority w:val="99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pPr>
      <w:numPr>
        <w:numId w:val="17"/>
      </w:numPr>
    </w:pPr>
  </w:style>
  <w:style w:type="character" w:customStyle="1" w:styleId="Red">
    <w:name w:val="Red"/>
    <w:basedOn w:val="Yellow"/>
    <w:uiPriority w:val="7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pPr>
      <w:ind w:firstLine="0"/>
      <w:jc w:val="center"/>
    </w:pPr>
    <w:rPr>
      <w:b/>
    </w:rPr>
  </w:style>
  <w:style w:type="paragraph" w:styleId="ad">
    <w:name w:val="Normal (Web)"/>
    <w:basedOn w:val="a0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pPr>
      <w:ind w:left="720"/>
      <w:contextualSpacing/>
    </w:pPr>
  </w:style>
  <w:style w:type="character" w:styleId="af3">
    <w:name w:val="Placeholder Text"/>
    <w:basedOn w:val="a1"/>
    <w:uiPriority w:val="99"/>
    <w:semiHidden/>
    <w:rPr>
      <w:color w:val="808080"/>
    </w:rPr>
  </w:style>
  <w:style w:type="character" w:styleId="af4">
    <w:name w:val="footnote reference"/>
    <w:basedOn w:val="a1"/>
    <w:rPr>
      <w:vertAlign w:val="superscript"/>
    </w:rPr>
  </w:style>
  <w:style w:type="paragraph" w:styleId="af5">
    <w:name w:val="footer"/>
    <w:basedOn w:val="a0"/>
    <w:link w:val="af6"/>
    <w:uiPriority w:val="99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</w:style>
  <w:style w:type="paragraph" w:styleId="af7">
    <w:name w:val="Body Text"/>
    <w:basedOn w:val="a0"/>
    <w:link w:val="af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Pr>
      <w:rFonts w:cs="Arial"/>
    </w:rPr>
  </w:style>
  <w:style w:type="character" w:styleId="af9">
    <w:name w:val="Strong"/>
    <w:uiPriority w:val="22"/>
    <w:qFormat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Pr>
      <w:szCs w:val="24"/>
    </w:rPr>
  </w:style>
  <w:style w:type="paragraph" w:customStyle="1" w:styleId="afa">
    <w:name w:val="Обычный без отступа"/>
    <w:basedOn w:val="a0"/>
    <w:pPr>
      <w:widowControl w:val="0"/>
      <w:autoSpaceDE w:val="0"/>
      <w:autoSpaceDN w:val="0"/>
      <w:adjustRightInd w:val="0"/>
      <w:spacing w:line="240" w:lineRule="auto"/>
      <w:ind w:firstLine="0"/>
    </w:pPr>
    <w:rPr>
      <w:rFonts w:cs="Arial"/>
    </w:rPr>
  </w:style>
  <w:style w:type="paragraph" w:styleId="31">
    <w:name w:val="Body Text Indent 3"/>
    <w:basedOn w:val="a0"/>
    <w:link w:val="32"/>
    <w:unhideWhenUsed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-vorobev\AppData\Roaming\Microsoft\&#1064;&#1072;&#1073;&#1083;&#1086;&#1085;&#1099;\ekra3_K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9155E-8323-4D68-B294-F5F4A19E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ekra3_KD</Template>
  <TotalTime>154</TotalTime>
  <Pages>5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Илья Алексеевич</dc:creator>
  <cp:lastModifiedBy>Кузнецова Мария Димитриевна</cp:lastModifiedBy>
  <cp:revision>45</cp:revision>
  <cp:lastPrinted>2016-11-09T09:01:00Z</cp:lastPrinted>
  <dcterms:created xsi:type="dcterms:W3CDTF">2016-10-04T10:54:00Z</dcterms:created>
  <dcterms:modified xsi:type="dcterms:W3CDTF">2020-02-10T07:07:00Z</dcterms:modified>
</cp:coreProperties>
</file>